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B1" w:rsidRPr="00C22EBE" w:rsidRDefault="00D76D8F" w:rsidP="005E5AC2">
      <w:pPr>
        <w:pStyle w:val="a5"/>
        <w:autoSpaceDE w:val="0"/>
        <w:spacing w:before="60" w:after="60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-1752600</wp:posOffset>
            </wp:positionH>
            <wp:positionV relativeFrom="paragraph">
              <wp:posOffset>-308610</wp:posOffset>
            </wp:positionV>
            <wp:extent cx="7639050" cy="11058525"/>
            <wp:effectExtent l="19050" t="0" r="0" b="0"/>
            <wp:wrapNone/>
            <wp:docPr id="3" name="Рисунок 1" descr="C:\Documents and Settings\Press5\Рабочий стол\Л.А.В\Клиентская служба Отделения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5\Рабочий стол\Л.А.В\Клиентская служба Отделения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105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53340</wp:posOffset>
            </wp:positionV>
            <wp:extent cx="952500" cy="981075"/>
            <wp:effectExtent l="19050" t="0" r="0" b="0"/>
            <wp:wrapThrough wrapText="bothSides">
              <wp:wrapPolygon edited="0">
                <wp:start x="-432" y="0"/>
                <wp:lineTo x="-432" y="21390"/>
                <wp:lineTo x="21600" y="21390"/>
                <wp:lineTo x="21600" y="0"/>
                <wp:lineTo x="-432" y="0"/>
              </wp:wrapPolygon>
            </wp:wrapThrough>
            <wp:docPr id="2" name="Рисунок 1" descr="C:\Documents and Settings\press7\Мои документы\Мои рисунки\P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7\Мои документы\Мои рисунки\P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956">
        <w:rPr>
          <w:b/>
          <w:noProof/>
          <w:color w:val="FFFFFF" w:themeColor="background1"/>
          <w:sz w:val="32"/>
          <w:szCs w:val="32"/>
          <w:lang w:eastAsia="ru-RU"/>
        </w:rPr>
        <w:t xml:space="preserve"> </w:t>
      </w:r>
      <w:r w:rsidRPr="00D76D8F">
        <w:rPr>
          <w:b/>
          <w:color w:val="FFFFFF" w:themeColor="background1"/>
          <w:sz w:val="32"/>
          <w:szCs w:val="32"/>
        </w:rPr>
        <w:t xml:space="preserve">               Управление Пенсионного фонда в Московском районе</w:t>
      </w:r>
      <w:r w:rsidR="00C22EBE" w:rsidRPr="00C22EBE">
        <w:rPr>
          <w:b/>
          <w:color w:val="FFFFFF" w:themeColor="background1"/>
          <w:sz w:val="32"/>
          <w:szCs w:val="32"/>
        </w:rPr>
        <w:t xml:space="preserve">  </w:t>
      </w:r>
      <w:r w:rsidRPr="00D76D8F">
        <w:rPr>
          <w:b/>
          <w:color w:val="FFFFFF" w:themeColor="background1"/>
          <w:sz w:val="32"/>
          <w:szCs w:val="32"/>
        </w:rPr>
        <w:t>Санкт-Петербурга</w:t>
      </w: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C56748" w:rsidRPr="005E5AC2" w:rsidRDefault="00C56748" w:rsidP="00D76D8F">
      <w:pPr>
        <w:pStyle w:val="a5"/>
        <w:autoSpaceDE w:val="0"/>
        <w:spacing w:before="60" w:after="60"/>
        <w:rPr>
          <w:b/>
          <w:color w:val="000000"/>
          <w:sz w:val="32"/>
          <w:szCs w:val="32"/>
        </w:rPr>
      </w:pPr>
    </w:p>
    <w:p w:rsidR="000064E3" w:rsidRPr="00E46E57" w:rsidRDefault="00E46E57" w:rsidP="000064E3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FF0000"/>
          <w:sz w:val="52"/>
          <w:szCs w:val="48"/>
          <w:lang w:eastAsia="ru-RU"/>
        </w:rPr>
      </w:pPr>
      <w:r w:rsidRPr="00E46E57">
        <w:rPr>
          <w:rFonts w:ascii="Tms Rmn" w:hAnsi="Tms Rmn" w:cs="Tms Rmn"/>
          <w:b/>
          <w:bCs/>
          <w:color w:val="FF0000"/>
          <w:sz w:val="52"/>
          <w:szCs w:val="48"/>
          <w:lang w:eastAsia="ru-RU"/>
        </w:rPr>
        <w:t xml:space="preserve">Реорганизация НПФ: бояться </w:t>
      </w:r>
      <w:r w:rsidRPr="00E46E57">
        <w:rPr>
          <w:rFonts w:ascii="Tms Rmn" w:hAnsi="Tms Rmn" w:cs="Tms Rmn"/>
          <w:b/>
          <w:bCs/>
          <w:color w:val="FF0000"/>
          <w:sz w:val="52"/>
          <w:szCs w:val="48"/>
          <w:lang w:eastAsia="ru-RU"/>
        </w:rPr>
        <w:br/>
        <w:t>не нужно, нужно знать, что делать</w:t>
      </w:r>
    </w:p>
    <w:p w:rsidR="00AB08F5" w:rsidRPr="00E46E57" w:rsidRDefault="00AB08F5" w:rsidP="000064E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ms Rmn"/>
          <w:b/>
          <w:bCs/>
          <w:color w:val="FF0000"/>
          <w:sz w:val="48"/>
          <w:szCs w:val="48"/>
          <w:lang w:eastAsia="ru-RU"/>
        </w:rPr>
      </w:pPr>
    </w:p>
    <w:p w:rsidR="00E46E57" w:rsidRPr="00E46E57" w:rsidRDefault="00E46E57" w:rsidP="00E46E57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ms Rmn" w:hAnsi="Tms Rmn" w:cs="Tms Rmn"/>
          <w:color w:val="000000"/>
          <w:sz w:val="32"/>
          <w:szCs w:val="24"/>
          <w:lang w:eastAsia="ru-RU"/>
        </w:rPr>
      </w:pPr>
      <w:r w:rsidRPr="00E46E57">
        <w:rPr>
          <w:rFonts w:ascii="Tms Rmn" w:hAnsi="Tms Rmn" w:cs="Tms Rmn"/>
          <w:color w:val="000000"/>
          <w:sz w:val="32"/>
          <w:szCs w:val="24"/>
          <w:lang w:eastAsia="ru-RU"/>
        </w:rPr>
        <w:t>В 2018 году несколько крупных негосударственных пенсионных фондов начали реорганизацию. Причины разные, но волноваться о сохранности ваших пенсионных накоплений нет повода.</w:t>
      </w:r>
    </w:p>
    <w:p w:rsidR="00E46E57" w:rsidRPr="00E46E57" w:rsidRDefault="00E46E57" w:rsidP="00E46E57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ms Rmn" w:hAnsi="Tms Rmn" w:cs="Tms Rmn"/>
          <w:color w:val="000000"/>
          <w:sz w:val="32"/>
          <w:szCs w:val="24"/>
          <w:lang w:eastAsia="ru-RU"/>
        </w:rPr>
      </w:pPr>
      <w:r w:rsidRPr="00E46E57">
        <w:rPr>
          <w:rFonts w:ascii="Tms Rmn" w:hAnsi="Tms Rmn" w:cs="Tms Rmn"/>
          <w:color w:val="000000"/>
          <w:sz w:val="32"/>
          <w:szCs w:val="24"/>
          <w:lang w:eastAsia="ru-RU"/>
        </w:rPr>
        <w:t>В течение 30 рабочих дней ваш страховщик должен сообщить о реорганизации на своем сайте и направить вам уведомление.</w:t>
      </w:r>
    </w:p>
    <w:p w:rsidR="00E46E57" w:rsidRPr="00E46E57" w:rsidRDefault="00E46E57" w:rsidP="00E46E57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ms Rmn" w:hAnsi="Tms Rmn" w:cs="Tms Rmn"/>
          <w:color w:val="000000"/>
          <w:sz w:val="32"/>
          <w:szCs w:val="24"/>
          <w:lang w:eastAsia="ru-RU"/>
        </w:rPr>
      </w:pPr>
      <w:r w:rsidRPr="00E46E57">
        <w:rPr>
          <w:rFonts w:ascii="Tms Rmn" w:hAnsi="Tms Rmn" w:cs="Tms Rmn"/>
          <w:color w:val="000000"/>
          <w:sz w:val="32"/>
          <w:szCs w:val="24"/>
          <w:lang w:eastAsia="ru-RU"/>
        </w:rPr>
        <w:t>Если вы решите сменить страховщика, обратитесь с заявлением о досрочном переходе в любое Управление ПФР. Заявление должно быть подано с пометкой «в связи с реорганизацией» до окончания реорганизации вашего НПФ.</w:t>
      </w:r>
    </w:p>
    <w:p w:rsidR="00E46E57" w:rsidRPr="00E46E57" w:rsidRDefault="00E46E57" w:rsidP="00E46E57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ms Rmn" w:hAnsi="Tms Rmn" w:cs="Tms Rmn"/>
          <w:color w:val="000000"/>
          <w:sz w:val="32"/>
          <w:szCs w:val="24"/>
          <w:lang w:eastAsia="ru-RU"/>
        </w:rPr>
      </w:pPr>
      <w:r w:rsidRPr="00E46E57">
        <w:rPr>
          <w:rFonts w:ascii="Tms Rmn" w:hAnsi="Tms Rmn" w:cs="Tms Rmn"/>
          <w:color w:val="000000"/>
          <w:sz w:val="32"/>
          <w:szCs w:val="24"/>
          <w:lang w:eastAsia="ru-RU"/>
        </w:rPr>
        <w:t xml:space="preserve">Ознакомиться со списком НПФ, включенных в систему гарантирования, вы можете на сайте агентства страхования вкладов </w:t>
      </w:r>
      <w:hyperlink r:id="rId8" w:history="1">
        <w:r w:rsidRPr="00E46E57">
          <w:rPr>
            <w:rFonts w:ascii="Tms Rmn" w:hAnsi="Tms Rmn" w:cs="Tms Rmn"/>
            <w:i/>
            <w:iCs/>
            <w:color w:val="0000FF"/>
            <w:sz w:val="32"/>
            <w:szCs w:val="24"/>
            <w:lang w:eastAsia="ru-RU"/>
          </w:rPr>
          <w:t>www.asv.org.ru/pension/list_npf/</w:t>
        </w:r>
      </w:hyperlink>
      <w:r w:rsidRPr="00E46E57">
        <w:rPr>
          <w:rFonts w:ascii="Tms Rmn" w:hAnsi="Tms Rmn" w:cs="Tms Rmn"/>
          <w:i/>
          <w:iCs/>
          <w:color w:val="000000"/>
          <w:sz w:val="32"/>
          <w:szCs w:val="24"/>
          <w:lang w:eastAsia="ru-RU"/>
        </w:rPr>
        <w:t xml:space="preserve"> </w:t>
      </w:r>
      <w:r w:rsidRPr="00E46E57">
        <w:rPr>
          <w:rFonts w:ascii="Tms Rmn" w:hAnsi="Tms Rmn" w:cs="Tms Rmn"/>
          <w:color w:val="000000"/>
          <w:sz w:val="32"/>
          <w:szCs w:val="24"/>
          <w:lang w:eastAsia="ru-RU"/>
        </w:rPr>
        <w:t>или на сайте ПФР.</w:t>
      </w:r>
    </w:p>
    <w:p w:rsidR="000064E3" w:rsidRPr="00E46E57" w:rsidRDefault="00E46E57" w:rsidP="00E46E57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Theme="minorHAnsi" w:hAnsiTheme="minorHAnsi" w:cs="Tms Rmn"/>
          <w:color w:val="000000"/>
          <w:sz w:val="44"/>
          <w:szCs w:val="24"/>
          <w:lang w:eastAsia="ru-RU"/>
        </w:rPr>
      </w:pPr>
      <w:r w:rsidRPr="00E46E57">
        <w:rPr>
          <w:rFonts w:ascii="Tms Rmn" w:hAnsi="Tms Rmn" w:cs="Tms Rmn"/>
          <w:color w:val="000000"/>
          <w:sz w:val="32"/>
          <w:szCs w:val="24"/>
          <w:lang w:eastAsia="ru-RU"/>
        </w:rPr>
        <w:t>В случае удовлетворения заявления о смене страховщика, Пенсионный фонд России внесет соответствующие изменения в единый реестр застрахованных лиц и передаст средства пенсионных накоплений без потери инвестиционного дохода до 31 марта года, следующего за годом подачи заявления.</w:t>
      </w:r>
      <w:r w:rsidR="00AB08F5" w:rsidRPr="00E46E57">
        <w:rPr>
          <w:rFonts w:ascii="Tms Rmn" w:hAnsi="Tms Rmn" w:cs="Tms Rmn"/>
          <w:i/>
          <w:iCs/>
          <w:color w:val="000000"/>
          <w:sz w:val="32"/>
          <w:szCs w:val="24"/>
          <w:lang w:eastAsia="ru-RU"/>
        </w:rPr>
        <w:t>**Постановление Правительства Российской Федерации от 12 декабря 2007 года № 862 «О Правилах направления средств (части средств) материнского (семейного) капитала на улучшение жилищных условий»</w:t>
      </w:r>
    </w:p>
    <w:p w:rsidR="002430AC" w:rsidRPr="00E46E57" w:rsidRDefault="002430AC" w:rsidP="00AB08F5">
      <w:pPr>
        <w:pStyle w:val="Standarduseruser"/>
        <w:spacing w:line="100" w:lineRule="atLeast"/>
        <w:rPr>
          <w:color w:val="000000"/>
          <w:sz w:val="20"/>
          <w:lang w:eastAsia="ru-RU"/>
        </w:rPr>
      </w:pPr>
    </w:p>
    <w:sectPr w:rsidR="002430AC" w:rsidRPr="00E46E57" w:rsidSect="0041622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9E1AFC"/>
    <w:lvl w:ilvl="0">
      <w:numFmt w:val="bullet"/>
      <w:lvlText w:val="*"/>
      <w:lvlJc w:val="left"/>
    </w:lvl>
  </w:abstractNum>
  <w:abstractNum w:abstractNumId="1">
    <w:nsid w:val="03370F14"/>
    <w:multiLevelType w:val="hybridMultilevel"/>
    <w:tmpl w:val="35788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61EEE"/>
    <w:multiLevelType w:val="hybridMultilevel"/>
    <w:tmpl w:val="53DC8710"/>
    <w:lvl w:ilvl="0" w:tplc="E2EC0B72">
      <w:numFmt w:val="bullet"/>
      <w:lvlText w:val="﷒"/>
      <w:lvlJc w:val="left"/>
      <w:pPr>
        <w:ind w:left="720" w:hanging="360"/>
      </w:pPr>
      <w:rPr>
        <w:rFonts w:ascii="Tms Rmn" w:eastAsia="Calibri" w:hAnsi="Tms Rmn" w:cs="Tms Rm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51805"/>
    <w:multiLevelType w:val="hybridMultilevel"/>
    <w:tmpl w:val="3E34E10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1DAA47F5"/>
    <w:multiLevelType w:val="hybridMultilevel"/>
    <w:tmpl w:val="F258D824"/>
    <w:lvl w:ilvl="0" w:tplc="6E7E52C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35906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83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00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43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E5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61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81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6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141E99"/>
    <w:multiLevelType w:val="hybridMultilevel"/>
    <w:tmpl w:val="FCF022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325FAA"/>
    <w:multiLevelType w:val="hybridMultilevel"/>
    <w:tmpl w:val="8336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74B84"/>
    <w:multiLevelType w:val="hybridMultilevel"/>
    <w:tmpl w:val="B328835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72027AAC"/>
    <w:multiLevelType w:val="hybridMultilevel"/>
    <w:tmpl w:val="CA78F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7724"/>
    <w:rsid w:val="00004A7B"/>
    <w:rsid w:val="000064E3"/>
    <w:rsid w:val="00026095"/>
    <w:rsid w:val="000369F3"/>
    <w:rsid w:val="00040B86"/>
    <w:rsid w:val="00045C81"/>
    <w:rsid w:val="0006138C"/>
    <w:rsid w:val="000641F0"/>
    <w:rsid w:val="000777C8"/>
    <w:rsid w:val="000B2CC1"/>
    <w:rsid w:val="000D14C2"/>
    <w:rsid w:val="000E1300"/>
    <w:rsid w:val="0011258E"/>
    <w:rsid w:val="001307E4"/>
    <w:rsid w:val="00186C01"/>
    <w:rsid w:val="001C3FA9"/>
    <w:rsid w:val="00214CF2"/>
    <w:rsid w:val="002421AB"/>
    <w:rsid w:val="002430AC"/>
    <w:rsid w:val="0029402E"/>
    <w:rsid w:val="002D182D"/>
    <w:rsid w:val="002D56AB"/>
    <w:rsid w:val="00345651"/>
    <w:rsid w:val="00345970"/>
    <w:rsid w:val="003754BF"/>
    <w:rsid w:val="003A7CC4"/>
    <w:rsid w:val="003D255E"/>
    <w:rsid w:val="003F53DE"/>
    <w:rsid w:val="004040DB"/>
    <w:rsid w:val="004055EA"/>
    <w:rsid w:val="0040588D"/>
    <w:rsid w:val="00416223"/>
    <w:rsid w:val="0043303C"/>
    <w:rsid w:val="00480D75"/>
    <w:rsid w:val="004862B1"/>
    <w:rsid w:val="004A270E"/>
    <w:rsid w:val="004D7724"/>
    <w:rsid w:val="004E7A6A"/>
    <w:rsid w:val="00500CD0"/>
    <w:rsid w:val="00515402"/>
    <w:rsid w:val="0054218E"/>
    <w:rsid w:val="00564C40"/>
    <w:rsid w:val="005865A0"/>
    <w:rsid w:val="005A3B12"/>
    <w:rsid w:val="005E5AC2"/>
    <w:rsid w:val="00646063"/>
    <w:rsid w:val="0065745D"/>
    <w:rsid w:val="00693946"/>
    <w:rsid w:val="006D300E"/>
    <w:rsid w:val="007017C2"/>
    <w:rsid w:val="00783A46"/>
    <w:rsid w:val="007841B6"/>
    <w:rsid w:val="007A277E"/>
    <w:rsid w:val="007F5BAC"/>
    <w:rsid w:val="008226CF"/>
    <w:rsid w:val="0082375C"/>
    <w:rsid w:val="008378CC"/>
    <w:rsid w:val="00857CD4"/>
    <w:rsid w:val="008C6736"/>
    <w:rsid w:val="008C7331"/>
    <w:rsid w:val="008D2862"/>
    <w:rsid w:val="008F2F46"/>
    <w:rsid w:val="0097066F"/>
    <w:rsid w:val="009B1956"/>
    <w:rsid w:val="009C7E04"/>
    <w:rsid w:val="00A40DAC"/>
    <w:rsid w:val="00A443C3"/>
    <w:rsid w:val="00A9088C"/>
    <w:rsid w:val="00A90BDD"/>
    <w:rsid w:val="00AA4F08"/>
    <w:rsid w:val="00AB08F5"/>
    <w:rsid w:val="00AF60EF"/>
    <w:rsid w:val="00B05C32"/>
    <w:rsid w:val="00BD7C29"/>
    <w:rsid w:val="00BE275C"/>
    <w:rsid w:val="00BF3922"/>
    <w:rsid w:val="00C10ACA"/>
    <w:rsid w:val="00C22EBE"/>
    <w:rsid w:val="00C44316"/>
    <w:rsid w:val="00C56748"/>
    <w:rsid w:val="00CD7FF4"/>
    <w:rsid w:val="00D57664"/>
    <w:rsid w:val="00D76D8F"/>
    <w:rsid w:val="00D80B86"/>
    <w:rsid w:val="00DC6193"/>
    <w:rsid w:val="00DD3A39"/>
    <w:rsid w:val="00DF1AB1"/>
    <w:rsid w:val="00E04787"/>
    <w:rsid w:val="00E10E7A"/>
    <w:rsid w:val="00E46E57"/>
    <w:rsid w:val="00E524D2"/>
    <w:rsid w:val="00E6278D"/>
    <w:rsid w:val="00E629A7"/>
    <w:rsid w:val="00E678B1"/>
    <w:rsid w:val="00E7285D"/>
    <w:rsid w:val="00EA40F0"/>
    <w:rsid w:val="00EE7FAC"/>
    <w:rsid w:val="00F02441"/>
    <w:rsid w:val="00FD0533"/>
    <w:rsid w:val="00F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2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678B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678B1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FD05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2441"/>
    <w:pPr>
      <w:ind w:left="720"/>
      <w:contextualSpacing/>
    </w:pPr>
  </w:style>
  <w:style w:type="paragraph" w:customStyle="1" w:styleId="Standarduseruser">
    <w:name w:val="Standard (user) (user)"/>
    <w:rsid w:val="00783A46"/>
    <w:pPr>
      <w:suppressAutoHyphens/>
      <w:textAlignment w:val="baseline"/>
    </w:pPr>
    <w:rPr>
      <w:rFonts w:ascii="Times New Roman" w:eastAsia="Arial" w:hAnsi="Times New Roman"/>
      <w:kern w:val="1"/>
      <w:sz w:val="28"/>
      <w:lang w:eastAsia="ar-SA"/>
    </w:rPr>
  </w:style>
  <w:style w:type="paragraph" w:customStyle="1" w:styleId="Standard">
    <w:name w:val="Standard"/>
    <w:rsid w:val="00783A46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783A4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pension/list_npf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AE3D5-5F37-498A-94ED-24E25F76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Мамедова</dc:creator>
  <cp:lastModifiedBy>057009-07305 С.А. Сергеева</cp:lastModifiedBy>
  <cp:revision>37</cp:revision>
  <cp:lastPrinted>2018-07-30T10:00:00Z</cp:lastPrinted>
  <dcterms:created xsi:type="dcterms:W3CDTF">2016-01-11T08:14:00Z</dcterms:created>
  <dcterms:modified xsi:type="dcterms:W3CDTF">2018-07-30T10:00:00Z</dcterms:modified>
</cp:coreProperties>
</file>